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561F" w:rsidRDefault="000A18C1" w:rsidP="00741316">
      <w:pPr>
        <w:rPr>
          <w:b/>
          <w:szCs w:val="24"/>
        </w:rPr>
      </w:pPr>
      <w:r w:rsidRPr="000A18C1">
        <w:rPr>
          <w:b/>
          <w:noProof/>
          <w:szCs w:val="24"/>
          <w:lang w:eastAsia="fr-FR"/>
        </w:rPr>
        <mc:AlternateContent>
          <mc:Choice Requires="wps">
            <w:drawing>
              <wp:anchor distT="45720" distB="45720" distL="114300" distR="114300" simplePos="0" relativeHeight="251663360" behindDoc="1" locked="0" layoutInCell="1" allowOverlap="1">
                <wp:simplePos x="0" y="0"/>
                <wp:positionH relativeFrom="column">
                  <wp:posOffset>-544830</wp:posOffset>
                </wp:positionH>
                <wp:positionV relativeFrom="paragraph">
                  <wp:posOffset>-518795</wp:posOffset>
                </wp:positionV>
                <wp:extent cx="1760220" cy="67056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670560"/>
                        </a:xfrm>
                        <a:prstGeom prst="rect">
                          <a:avLst/>
                        </a:prstGeom>
                        <a:solidFill>
                          <a:srgbClr val="FFFFFF"/>
                        </a:solidFill>
                        <a:ln w="9525">
                          <a:noFill/>
                          <a:miter lim="800000"/>
                          <a:headEnd/>
                          <a:tailEnd/>
                        </a:ln>
                      </wps:spPr>
                      <wps:txbx>
                        <w:txbxContent>
                          <w:p w:rsidR="000A18C1" w:rsidRDefault="000A18C1">
                            <w:r>
                              <w:rPr>
                                <w:noProof/>
                                <w:lang w:eastAsia="fr-FR"/>
                              </w:rPr>
                              <w:drawing>
                                <wp:inline distT="0" distB="0" distL="0" distR="0">
                                  <wp:extent cx="1609725" cy="5810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pic:cNvPicPr/>
                                        </pic:nvPicPr>
                                        <pic:blipFill>
                                          <a:blip r:embed="rId7">
                                            <a:extLst>
                                              <a:ext uri="{28A0092B-C50C-407E-A947-70E740481C1C}">
                                                <a14:useLocalDpi xmlns:a14="http://schemas.microsoft.com/office/drawing/2010/main" val="0"/>
                                              </a:ext>
                                            </a:extLst>
                                          </a:blip>
                                          <a:stretch>
                                            <a:fillRect/>
                                          </a:stretch>
                                        </pic:blipFill>
                                        <pic:spPr>
                                          <a:xfrm>
                                            <a:off x="0" y="0"/>
                                            <a:ext cx="1612886" cy="5821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2.9pt;margin-top:-40.85pt;width:138.6pt;height:52.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" stroked="f">
                <v:textbox>
                  <w:txbxContent>
                    <w:p w:rsidR="000A18C1" w:rsidRDefault="000A18C1">
                      <w:r>
                        <w:rPr>
                          <w:noProof/>
                          <w:lang w:eastAsia="fr-FR"/>
                        </w:rPr>
                        <w:drawing>
                          <wp:inline distT="0" distB="0" distL="0" distR="0">
                            <wp:extent cx="1609725" cy="5810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pic:cNvPicPr/>
                                  </pic:nvPicPr>
                                  <pic:blipFill>
                                    <a:blip r:embed="rId8">
                                      <a:extLst>
                                        <a:ext uri="{28A0092B-C50C-407E-A947-70E740481C1C}">
                                          <a14:useLocalDpi xmlns:a14="http://schemas.microsoft.com/office/drawing/2010/main" val="0"/>
                                        </a:ext>
                                      </a:extLst>
                                    </a:blip>
                                    <a:stretch>
                                      <a:fillRect/>
                                    </a:stretch>
                                  </pic:blipFill>
                                  <pic:spPr>
                                    <a:xfrm>
                                      <a:off x="0" y="0"/>
                                      <a:ext cx="1612886" cy="582166"/>
                                    </a:xfrm>
                                    <a:prstGeom prst="rect">
                                      <a:avLst/>
                                    </a:prstGeom>
                                  </pic:spPr>
                                </pic:pic>
                              </a:graphicData>
                            </a:graphic>
                          </wp:inline>
                        </w:drawing>
                      </w:r>
                    </w:p>
                  </w:txbxContent>
                </v:textbox>
              </v:shape>
            </w:pict>
          </mc:Fallback>
        </mc:AlternateContent>
      </w:r>
      <w:r w:rsidR="00741316">
        <w:rPr>
          <w:b/>
          <w:szCs w:val="24"/>
        </w:rPr>
        <w:t xml:space="preserve">       </w:t>
      </w:r>
    </w:p>
    <w:p w:rsidR="00A57F50" w:rsidRDefault="00A57F50" w:rsidP="00741316">
      <w:pPr>
        <w:rPr>
          <w:b/>
          <w:szCs w:val="24"/>
        </w:rPr>
      </w:pPr>
    </w:p>
    <w:p w:rsidR="0012561F" w:rsidRDefault="002837FF" w:rsidP="00741316">
      <w:pPr>
        <w:rPr>
          <w:b/>
          <w:szCs w:val="24"/>
        </w:rPr>
      </w:pPr>
      <w:r w:rsidRPr="003A104F">
        <w:rPr>
          <w:noProof/>
          <w:lang w:eastAsia="fr-FR"/>
        </w:rPr>
        <mc:AlternateContent>
          <mc:Choice Requires="wps">
            <w:drawing>
              <wp:anchor distT="0" distB="0" distL="114300" distR="114300" simplePos="0" relativeHeight="251665408" behindDoc="0" locked="0" layoutInCell="1" allowOverlap="1" wp14:anchorId="59F67EAF" wp14:editId="6066F18A">
                <wp:simplePos x="0" y="0"/>
                <wp:positionH relativeFrom="margin">
                  <wp:posOffset>565785</wp:posOffset>
                </wp:positionH>
                <wp:positionV relativeFrom="paragraph">
                  <wp:posOffset>66041</wp:posOffset>
                </wp:positionV>
                <wp:extent cx="5181600" cy="4000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400050"/>
                        </a:xfrm>
                        <a:prstGeom prst="rect">
                          <a:avLst/>
                        </a:prstGeom>
                        <a:noFill/>
                        <a:ln w="19080" cap="sq">
                          <a:solidFill>
                            <a:srgbClr val="41719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AC09A0" id="Rectangle 1" o:spid="_x0000_s1026" style="position:absolute;margin-left:44.55pt;margin-top:5.2pt;width:408pt;height:31.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" filled="f" strokecolor="#41719c" strokeweight=".53mm">
                <v:stroke endcap="square"/>
                <w10:wrap anchorx="margin"/>
              </v:rect>
            </w:pict>
          </mc:Fallback>
        </mc:AlternateContent>
      </w:r>
    </w:p>
    <w:p w:rsidR="009A1EC4" w:rsidRPr="00501B4D" w:rsidRDefault="009A1EC4" w:rsidP="0012561F">
      <w:pPr>
        <w:jc w:val="center"/>
        <w:rPr>
          <w:szCs w:val="28"/>
        </w:rPr>
      </w:pPr>
      <w:r w:rsidRPr="00501B4D">
        <w:rPr>
          <w:b/>
          <w:szCs w:val="24"/>
        </w:rPr>
        <w:t>CHECK-LIST AFFECTATION EN LYCEE : CONTRÔLES IMPERATIFS</w:t>
      </w:r>
    </w:p>
    <w:p w:rsidR="009A1EC4" w:rsidRPr="00501B4D" w:rsidRDefault="009A1EC4" w:rsidP="009A1EC4"/>
    <w:p w:rsidR="009A1EC4" w:rsidRDefault="009A1EC4" w:rsidP="009A1EC4"/>
    <w:p w:rsidR="000046B0" w:rsidRDefault="000046B0" w:rsidP="000046B0">
      <w:pPr>
        <w:ind w:left="708" w:hanging="282"/>
        <w:jc w:val="center"/>
        <w:rPr>
          <w:b/>
          <w:kern w:val="1"/>
          <w:sz w:val="22"/>
          <w:szCs w:val="22"/>
        </w:rPr>
      </w:pPr>
    </w:p>
    <w:p w:rsidR="000046B0" w:rsidRPr="004777D6" w:rsidRDefault="000046B0" w:rsidP="000046B0">
      <w:pPr>
        <w:ind w:left="708" w:hanging="282"/>
        <w:jc w:val="center"/>
        <w:rPr>
          <w:rFonts w:asciiTheme="minorHAnsi" w:hAnsiTheme="minorHAnsi" w:cstheme="minorHAnsi"/>
        </w:rPr>
      </w:pPr>
      <w:r w:rsidRPr="000046B0">
        <w:rPr>
          <w:rFonts w:asciiTheme="minorHAnsi" w:hAnsiTheme="minorHAnsi" w:cstheme="minorHAnsi"/>
          <w:b/>
          <w:kern w:val="1"/>
          <w:sz w:val="22"/>
          <w:szCs w:val="22"/>
        </w:rPr>
        <w:t>TOUS VŒUX</w:t>
      </w:r>
    </w:p>
    <w:p w:rsidR="00E47C63" w:rsidRPr="00501B4D" w:rsidRDefault="00E47C63" w:rsidP="009A1EC4"/>
    <w:p w:rsidR="009A1EC4" w:rsidRDefault="00EB4EA7" w:rsidP="002837FF">
      <w:pPr>
        <w:pStyle w:val="Paragraphedeliste"/>
        <w:spacing w:line="240" w:lineRule="auto"/>
        <w:ind w:left="851" w:hanging="425"/>
      </w:pPr>
      <w:r w:rsidRPr="00501B4D">
        <w:rPr>
          <w:rFonts w:ascii="Wingdings" w:hAnsi="Wingdings" w:cs="Wingdings"/>
        </w:rPr>
        <w:t></w:t>
      </w:r>
      <w:r>
        <w:rPr>
          <w:rFonts w:ascii="Wingdings" w:hAnsi="Wingdings" w:cs="Wingdings"/>
        </w:rPr>
        <w:t></w:t>
      </w:r>
      <w:r w:rsidR="002837FF" w:rsidRPr="002837FF">
        <w:t xml:space="preserve"> Si la saisie des vœux est réalisée par l’établissement, éditer les bordereaux récapitulatifs de saisie des vœux de chaque élève, les remettre aux familles pour vérification, s’assurer de leur accord et les archiver.</w:t>
      </w:r>
    </w:p>
    <w:p w:rsidR="002837FF" w:rsidRPr="00501B4D" w:rsidRDefault="002837FF" w:rsidP="002837FF">
      <w:pPr>
        <w:pStyle w:val="Paragraphedeliste"/>
        <w:spacing w:line="240" w:lineRule="auto"/>
        <w:ind w:left="851" w:hanging="425"/>
      </w:pPr>
    </w:p>
    <w:p w:rsidR="009A1EC4" w:rsidRDefault="00EB4EA7" w:rsidP="002837FF">
      <w:pPr>
        <w:pStyle w:val="Paragraphedeliste"/>
        <w:ind w:left="851" w:hanging="413"/>
        <w:rPr>
          <w:bCs/>
        </w:rPr>
      </w:pPr>
      <w:r w:rsidRPr="00501B4D">
        <w:rPr>
          <w:rFonts w:ascii="Wingdings" w:hAnsi="Wingdings" w:cs="Wingdings"/>
        </w:rPr>
        <w:t></w:t>
      </w:r>
      <w:r>
        <w:rPr>
          <w:rFonts w:ascii="Wingdings" w:hAnsi="Wingdings" w:cs="Wingdings"/>
        </w:rPr>
        <w:t></w:t>
      </w:r>
      <w:r w:rsidR="002837FF" w:rsidRPr="002837FF">
        <w:rPr>
          <w:rFonts w:ascii="Arial" w:eastAsia="Times New Roman" w:hAnsi="Arial" w:cs="Arial"/>
          <w:bCs/>
          <w:kern w:val="1"/>
          <w:lang w:eastAsia="ar-SA"/>
        </w:rPr>
        <w:t xml:space="preserve"> </w:t>
      </w:r>
      <w:r w:rsidR="002837FF" w:rsidRPr="002837FF">
        <w:rPr>
          <w:bCs/>
        </w:rPr>
        <w:t>Après la phase de dialogue, s’assurer que les vœux correspondent toujours aux décisions d’orientation acceptées par les familles. Les modifier si nécessaire avant la fin de la saisie ou les faire modifier par la DSDEN avant la fin de la procédure.</w:t>
      </w:r>
    </w:p>
    <w:p w:rsidR="002837FF" w:rsidRDefault="002837FF" w:rsidP="002837FF">
      <w:pPr>
        <w:pStyle w:val="Paragraphedeliste"/>
        <w:ind w:left="851" w:hanging="413"/>
        <w:rPr>
          <w:bCs/>
        </w:rPr>
      </w:pPr>
    </w:p>
    <w:p w:rsidR="002837FF" w:rsidRDefault="002837FF" w:rsidP="002837FF">
      <w:pPr>
        <w:pStyle w:val="Paragraphedeliste"/>
        <w:ind w:left="851" w:hanging="413"/>
      </w:pPr>
      <w:r w:rsidRPr="00501B4D">
        <w:rPr>
          <w:rFonts w:ascii="Wingdings" w:hAnsi="Wingdings" w:cs="Wingdings"/>
        </w:rPr>
        <w:t></w:t>
      </w:r>
      <w:r>
        <w:rPr>
          <w:rFonts w:ascii="Wingdings" w:hAnsi="Wingdings" w:cs="Wingdings"/>
        </w:rPr>
        <w:t></w:t>
      </w:r>
      <w:r w:rsidRPr="002837FF">
        <w:rPr>
          <w:rFonts w:ascii="Arial" w:eastAsia="Times New Roman" w:hAnsi="Arial" w:cs="Arial"/>
          <w:bCs/>
          <w:kern w:val="1"/>
          <w:lang w:eastAsia="ar-SA"/>
        </w:rPr>
        <w:t xml:space="preserve"> </w:t>
      </w:r>
      <w:r w:rsidRPr="002837FF">
        <w:rPr>
          <w:bCs/>
        </w:rPr>
        <w:t>Après la fin de la saisie par le Télé-service SLA (élèves de 3</w:t>
      </w:r>
      <w:r w:rsidRPr="002837FF">
        <w:rPr>
          <w:bCs/>
          <w:vertAlign w:val="superscript"/>
        </w:rPr>
        <w:t>ème</w:t>
      </w:r>
      <w:r w:rsidRPr="002837FF">
        <w:rPr>
          <w:bCs/>
        </w:rPr>
        <w:t xml:space="preserve">) et avant la fin de la saisie dans AFFELNET en établissement, s’assurer que les vœux saisis par les familles sont bien conformes à leurs demandes </w:t>
      </w:r>
      <w:r w:rsidRPr="002837FF">
        <w:rPr>
          <w:bCs/>
          <w:highlight w:val="yellow"/>
        </w:rPr>
        <w:t>et notamment lorsqu’un vœu par apprentissage apparaît</w:t>
      </w:r>
      <w:r w:rsidRPr="002837FF">
        <w:rPr>
          <w:bCs/>
        </w:rPr>
        <w:t xml:space="preserve"> (risque élevé de confusion entre le vœu par apprentissage et le même vœu sous statut scolaire). Il est fortement conseillé de doubler un vœu par apprentissage par le même sous statut scolaire. Modifier les vœux, si nécessaire, avant la fin de la saisie ou les faire modifier par la DSDEN avant la fin de la procédure.</w:t>
      </w:r>
    </w:p>
    <w:p w:rsidR="002837FF" w:rsidRPr="00501B4D" w:rsidRDefault="002837FF" w:rsidP="002837FF">
      <w:pPr>
        <w:pStyle w:val="Paragraphedeliste"/>
        <w:ind w:left="851" w:hanging="413"/>
      </w:pPr>
    </w:p>
    <w:p w:rsidR="002837FF" w:rsidRPr="002837FF" w:rsidRDefault="00EB4EA7" w:rsidP="002837FF">
      <w:pPr>
        <w:pStyle w:val="Paragraphedeliste"/>
        <w:ind w:left="851" w:hanging="425"/>
        <w:rPr>
          <w:bCs/>
        </w:rPr>
      </w:pPr>
      <w:r w:rsidRPr="00501B4D">
        <w:rPr>
          <w:rFonts w:ascii="Wingdings" w:hAnsi="Wingdings" w:cs="Wingdings"/>
        </w:rPr>
        <w:t></w:t>
      </w:r>
      <w:r>
        <w:rPr>
          <w:rFonts w:ascii="Wingdings" w:hAnsi="Wingdings" w:cs="Wingdings"/>
        </w:rPr>
        <w:t></w:t>
      </w:r>
      <w:r w:rsidR="002837FF" w:rsidRPr="002837FF">
        <w:rPr>
          <w:bCs/>
          <w:kern w:val="1"/>
        </w:rPr>
        <w:t xml:space="preserve"> </w:t>
      </w:r>
      <w:r w:rsidR="002837FF" w:rsidRPr="002837FF">
        <w:t>En cas de désaccord entre parents, ne pas arbitrer mais alerter l’IEN-IO</w:t>
      </w:r>
    </w:p>
    <w:p w:rsidR="009A1EC4" w:rsidRPr="00501B4D" w:rsidRDefault="009A1EC4" w:rsidP="009A1EC4">
      <w:pPr>
        <w:pStyle w:val="Paragraphedeliste"/>
        <w:ind w:hanging="282"/>
      </w:pPr>
    </w:p>
    <w:p w:rsidR="009A1EC4" w:rsidRDefault="00EB4EA7" w:rsidP="002837FF">
      <w:pPr>
        <w:pStyle w:val="Paragraphedeliste"/>
        <w:ind w:left="851" w:hanging="413"/>
        <w:rPr>
          <w:bCs/>
        </w:rPr>
      </w:pPr>
      <w:r w:rsidRPr="00501B4D">
        <w:rPr>
          <w:rFonts w:ascii="Wingdings" w:hAnsi="Wingdings" w:cs="Wingdings"/>
        </w:rPr>
        <w:t></w:t>
      </w:r>
      <w:r>
        <w:rPr>
          <w:rFonts w:ascii="Wingdings" w:hAnsi="Wingdings" w:cs="Wingdings"/>
        </w:rPr>
        <w:t></w:t>
      </w:r>
      <w:r w:rsidR="002837FF" w:rsidRPr="002837FF">
        <w:rPr>
          <w:rFonts w:ascii="Arial" w:eastAsia="Times New Roman" w:hAnsi="Arial" w:cs="Arial"/>
          <w:bCs/>
          <w:kern w:val="1"/>
          <w:lang w:eastAsia="ar-SA"/>
        </w:rPr>
        <w:t xml:space="preserve"> </w:t>
      </w:r>
      <w:r w:rsidR="002837FF" w:rsidRPr="002837FF">
        <w:rPr>
          <w:bCs/>
        </w:rPr>
        <w:t>En cas d’appel : s’assurer que les vœux correspondent bien à la décision de la commission d’appel. Dans le cas contraire contacter immédiatement les familles et la DSDEN pour faire procéder aux modifications nécessaires avant la fin de la procédure.</w:t>
      </w:r>
    </w:p>
    <w:p w:rsidR="002837FF" w:rsidRPr="00501B4D" w:rsidRDefault="002837FF" w:rsidP="002837FF">
      <w:pPr>
        <w:pStyle w:val="Paragraphedeliste"/>
        <w:ind w:left="851" w:hanging="413"/>
      </w:pPr>
    </w:p>
    <w:p w:rsidR="009A1EC4" w:rsidRDefault="00EB4EA7" w:rsidP="00EB4EA7">
      <w:pPr>
        <w:pStyle w:val="Paragraphedeliste"/>
        <w:ind w:left="851" w:hanging="413"/>
      </w:pPr>
      <w:r w:rsidRPr="00501B4D">
        <w:rPr>
          <w:rFonts w:ascii="Wingdings" w:hAnsi="Wingdings" w:cs="Wingdings"/>
        </w:rPr>
        <w:t></w:t>
      </w:r>
      <w:r>
        <w:rPr>
          <w:rFonts w:ascii="Wingdings" w:hAnsi="Wingdings" w:cs="Wingdings"/>
        </w:rPr>
        <w:t></w:t>
      </w:r>
      <w:r w:rsidR="002837FF" w:rsidRPr="002837FF">
        <w:rPr>
          <w:rFonts w:ascii="Arial" w:eastAsia="Times New Roman" w:hAnsi="Arial" w:cs="Arial"/>
          <w:bCs/>
          <w:kern w:val="1"/>
          <w:lang w:eastAsia="ar-SA"/>
        </w:rPr>
        <w:t xml:space="preserve"> </w:t>
      </w:r>
      <w:r w:rsidR="002837FF" w:rsidRPr="002837FF">
        <w:rPr>
          <w:bCs/>
        </w:rPr>
        <w:t>S’assurer de la saisie des vœux des redoublants de 2GT, 2pro, 1CAP2 dans AFFELNET puis adresser la liste des redoublants à la DSDEN pour assurer leur affectation (Affectation d’office dans AFFELNET).</w:t>
      </w:r>
    </w:p>
    <w:p w:rsidR="00EB4EA7" w:rsidRPr="00501B4D" w:rsidRDefault="00EB4EA7" w:rsidP="009A1EC4">
      <w:pPr>
        <w:pStyle w:val="Paragraphedeliste"/>
        <w:ind w:hanging="282"/>
      </w:pPr>
    </w:p>
    <w:p w:rsidR="009A1EC4" w:rsidRDefault="00EB4EA7" w:rsidP="002837FF">
      <w:pPr>
        <w:pStyle w:val="Paragraphedeliste"/>
        <w:ind w:left="851" w:hanging="851"/>
        <w:rPr>
          <w:bCs/>
        </w:rPr>
      </w:pPr>
      <w:r>
        <w:rPr>
          <w:rFonts w:ascii="Wingdings" w:hAnsi="Wingdings" w:cs="Wingdings"/>
        </w:rPr>
        <w:t></w:t>
      </w:r>
      <w:r>
        <w:rPr>
          <w:rFonts w:ascii="Wingdings" w:hAnsi="Wingdings" w:cs="Wingdings"/>
        </w:rPr>
        <w:t></w:t>
      </w:r>
      <w:r w:rsidRPr="00501B4D">
        <w:rPr>
          <w:rFonts w:ascii="Wingdings" w:hAnsi="Wingdings" w:cs="Wingdings"/>
        </w:rPr>
        <w:t></w:t>
      </w:r>
      <w:r>
        <w:rPr>
          <w:rFonts w:ascii="Wingdings" w:hAnsi="Wingdings" w:cs="Wingdings"/>
        </w:rPr>
        <w:t></w:t>
      </w:r>
      <w:r w:rsidR="002837FF" w:rsidRPr="002837FF">
        <w:rPr>
          <w:rFonts w:ascii="Arial" w:eastAsia="Times New Roman" w:hAnsi="Arial" w:cs="Arial"/>
          <w:bCs/>
          <w:kern w:val="1"/>
          <w:lang w:eastAsia="ar-SA"/>
        </w:rPr>
        <w:t xml:space="preserve"> </w:t>
      </w:r>
      <w:r w:rsidR="002837FF" w:rsidRPr="002837FF">
        <w:rPr>
          <w:bCs/>
        </w:rPr>
        <w:t>S’assurer pour chaque élève de 3</w:t>
      </w:r>
      <w:r w:rsidR="002837FF" w:rsidRPr="002837FF">
        <w:rPr>
          <w:bCs/>
          <w:vertAlign w:val="superscript"/>
        </w:rPr>
        <w:t>ème</w:t>
      </w:r>
      <w:r w:rsidR="002837FF" w:rsidRPr="002837FF">
        <w:rPr>
          <w:bCs/>
        </w:rPr>
        <w:t xml:space="preserve"> que le transfert du LSU est complet (notes et compétences).</w:t>
      </w:r>
    </w:p>
    <w:p w:rsidR="002837FF" w:rsidRDefault="002837FF" w:rsidP="002837FF">
      <w:pPr>
        <w:pStyle w:val="Paragraphedeliste"/>
        <w:ind w:left="851" w:hanging="851"/>
        <w:rPr>
          <w:bCs/>
        </w:rPr>
      </w:pPr>
    </w:p>
    <w:p w:rsidR="002837FF" w:rsidRPr="002837FF" w:rsidRDefault="002837FF" w:rsidP="002837FF">
      <w:pPr>
        <w:pStyle w:val="Paragraphedeliste"/>
        <w:ind w:left="851" w:hanging="413"/>
        <w:rPr>
          <w:bCs/>
        </w:rPr>
      </w:pPr>
      <w:r w:rsidRPr="00501B4D">
        <w:rPr>
          <w:rFonts w:ascii="Wingdings" w:hAnsi="Wingdings" w:cs="Wingdings"/>
        </w:rPr>
        <w:t></w:t>
      </w:r>
      <w:r>
        <w:rPr>
          <w:rFonts w:ascii="Wingdings" w:hAnsi="Wingdings" w:cs="Wingdings"/>
        </w:rPr>
        <w:t></w:t>
      </w:r>
      <w:r w:rsidRPr="002837FF">
        <w:rPr>
          <w:rFonts w:ascii="Arial" w:eastAsia="Times New Roman" w:hAnsi="Arial" w:cs="Arial"/>
          <w:bCs/>
          <w:kern w:val="1"/>
          <w:lang w:eastAsia="ar-SA"/>
        </w:rPr>
        <w:t xml:space="preserve"> </w:t>
      </w:r>
      <w:r w:rsidRPr="002837FF">
        <w:rPr>
          <w:bCs/>
        </w:rPr>
        <w:t>S’assurer pour chaque élève de lycée (2GT, 2PRO, 1CAP2) demandant une formation contingentée (2</w:t>
      </w:r>
      <w:r w:rsidRPr="002837FF">
        <w:rPr>
          <w:bCs/>
          <w:vertAlign w:val="superscript"/>
        </w:rPr>
        <w:t>nde</w:t>
      </w:r>
      <w:r w:rsidRPr="002837FF">
        <w:rPr>
          <w:bCs/>
        </w:rPr>
        <w:t xml:space="preserve"> pro, 1CAP2, 1</w:t>
      </w:r>
      <w:r w:rsidRPr="002837FF">
        <w:rPr>
          <w:bCs/>
          <w:vertAlign w:val="superscript"/>
        </w:rPr>
        <w:t>ère</w:t>
      </w:r>
      <w:r w:rsidRPr="002837FF">
        <w:rPr>
          <w:bCs/>
        </w:rPr>
        <w:t xml:space="preserve"> pro, 1</w:t>
      </w:r>
      <w:r w:rsidRPr="002837FF">
        <w:rPr>
          <w:bCs/>
          <w:vertAlign w:val="superscript"/>
        </w:rPr>
        <w:t>ère</w:t>
      </w:r>
      <w:r w:rsidRPr="002837FF">
        <w:rPr>
          <w:bCs/>
        </w:rPr>
        <w:t xml:space="preserve"> technologique), que les notes de l’année ont été saisies.</w:t>
      </w:r>
    </w:p>
    <w:p w:rsidR="002837FF" w:rsidRDefault="002837FF" w:rsidP="002837FF">
      <w:pPr>
        <w:pStyle w:val="Paragraphedeliste"/>
        <w:ind w:left="851" w:hanging="413"/>
      </w:pPr>
    </w:p>
    <w:p w:rsidR="002837FF" w:rsidRDefault="002837FF" w:rsidP="002837FF">
      <w:pPr>
        <w:pStyle w:val="Paragraphedeliste"/>
        <w:ind w:left="851" w:hanging="413"/>
      </w:pPr>
      <w:r w:rsidRPr="00501B4D">
        <w:rPr>
          <w:rFonts w:ascii="Wingdings" w:hAnsi="Wingdings" w:cs="Wingdings"/>
        </w:rPr>
        <w:t></w:t>
      </w:r>
      <w:r>
        <w:rPr>
          <w:rFonts w:ascii="Wingdings" w:hAnsi="Wingdings" w:cs="Wingdings"/>
        </w:rPr>
        <w:t></w:t>
      </w:r>
      <w:r w:rsidRPr="002837FF">
        <w:rPr>
          <w:rFonts w:ascii="Arial" w:eastAsia="Times New Roman" w:hAnsi="Arial" w:cs="Arial"/>
          <w:bCs/>
          <w:kern w:val="1"/>
          <w:lang w:eastAsia="ar-SA"/>
        </w:rPr>
        <w:t xml:space="preserve"> </w:t>
      </w:r>
      <w:r w:rsidRPr="002837FF">
        <w:rPr>
          <w:bCs/>
        </w:rPr>
        <w:t>En cas de places vacantes, après les résultats de l’affectation, appeler les élèves en liste supplémentaire en respectant impérativement leur ordre de classement.</w:t>
      </w:r>
    </w:p>
    <w:p w:rsidR="002837FF" w:rsidRDefault="002837FF" w:rsidP="002837FF">
      <w:pPr>
        <w:pStyle w:val="Paragraphedeliste"/>
        <w:ind w:left="851" w:hanging="851"/>
        <w:rPr>
          <w:bCs/>
        </w:rPr>
      </w:pPr>
    </w:p>
    <w:p w:rsidR="002837FF" w:rsidRPr="002837FF" w:rsidRDefault="002837FF" w:rsidP="002837FF">
      <w:pPr>
        <w:pStyle w:val="Paragraphedeliste"/>
        <w:ind w:left="851" w:hanging="413"/>
        <w:rPr>
          <w:bCs/>
        </w:rPr>
      </w:pPr>
      <w:r w:rsidRPr="00501B4D">
        <w:rPr>
          <w:rFonts w:ascii="Wingdings" w:hAnsi="Wingdings" w:cs="Wingdings"/>
        </w:rPr>
        <w:t></w:t>
      </w:r>
      <w:r>
        <w:rPr>
          <w:rFonts w:ascii="Wingdings" w:hAnsi="Wingdings" w:cs="Wingdings"/>
        </w:rPr>
        <w:t></w:t>
      </w:r>
      <w:r w:rsidRPr="002837FF">
        <w:rPr>
          <w:rFonts w:ascii="Arial" w:eastAsia="Times New Roman" w:hAnsi="Arial" w:cs="Arial"/>
          <w:bCs/>
          <w:kern w:val="1"/>
          <w:lang w:eastAsia="ar-SA"/>
        </w:rPr>
        <w:t xml:space="preserve"> </w:t>
      </w:r>
      <w:r w:rsidRPr="002837FF">
        <w:rPr>
          <w:bCs/>
        </w:rPr>
        <w:t xml:space="preserve">Pour </w:t>
      </w:r>
      <w:r w:rsidR="00421E6C">
        <w:rPr>
          <w:bCs/>
        </w:rPr>
        <w:t>le tour de septembre</w:t>
      </w:r>
      <w:r w:rsidRPr="002837FF">
        <w:rPr>
          <w:bCs/>
        </w:rPr>
        <w:t>, ne signaler de places vacantes que si tous les élèves de la liste supplémentaire ont été appelés.</w:t>
      </w:r>
    </w:p>
    <w:p w:rsidR="002837FF" w:rsidRDefault="002837FF" w:rsidP="002837FF">
      <w:pPr>
        <w:pStyle w:val="Paragraphedeliste"/>
        <w:ind w:left="851" w:hanging="413"/>
      </w:pPr>
    </w:p>
    <w:p w:rsidR="002837FF" w:rsidRPr="002837FF" w:rsidRDefault="002837FF" w:rsidP="002837FF">
      <w:pPr>
        <w:pStyle w:val="Paragraphedeliste"/>
        <w:ind w:left="851" w:hanging="413"/>
        <w:rPr>
          <w:bCs/>
        </w:rPr>
      </w:pPr>
      <w:r w:rsidRPr="00501B4D">
        <w:rPr>
          <w:rFonts w:ascii="Wingdings" w:hAnsi="Wingdings" w:cs="Wingdings"/>
        </w:rPr>
        <w:t></w:t>
      </w:r>
      <w:r>
        <w:rPr>
          <w:rFonts w:ascii="Wingdings" w:hAnsi="Wingdings" w:cs="Wingdings"/>
        </w:rPr>
        <w:t></w:t>
      </w:r>
      <w:r w:rsidRPr="002837FF">
        <w:rPr>
          <w:rFonts w:ascii="Arial" w:eastAsia="Times New Roman" w:hAnsi="Arial" w:cs="Arial"/>
          <w:bCs/>
          <w:kern w:val="1"/>
          <w:lang w:eastAsia="ar-SA"/>
        </w:rPr>
        <w:t xml:space="preserve"> </w:t>
      </w:r>
      <w:r w:rsidRPr="002837FF">
        <w:rPr>
          <w:bCs/>
        </w:rPr>
        <w:t xml:space="preserve">Les chefs d’établissement d’origine doivent s’assurer de l’affectation, </w:t>
      </w:r>
      <w:r w:rsidRPr="002837FF">
        <w:rPr>
          <w:bCs/>
          <w:u w:val="single"/>
        </w:rPr>
        <w:t>puis de l’inscription</w:t>
      </w:r>
      <w:r w:rsidRPr="002837FF">
        <w:rPr>
          <w:bCs/>
        </w:rPr>
        <w:t xml:space="preserve"> de chaque élève de leur établissement. A défaut d’inscription la place est supposée vacante. L’inscription en ligne par le Télé-service Inscription vaut inscription définitive.</w:t>
      </w:r>
    </w:p>
    <w:p w:rsidR="002837FF" w:rsidRDefault="002837FF" w:rsidP="002837FF">
      <w:pPr>
        <w:pStyle w:val="Paragraphedeliste"/>
        <w:ind w:left="851" w:hanging="413"/>
        <w:rPr>
          <w:bCs/>
        </w:rPr>
      </w:pPr>
    </w:p>
    <w:p w:rsidR="002837FF" w:rsidRDefault="002837FF" w:rsidP="002837FF">
      <w:pPr>
        <w:pStyle w:val="Paragraphedeliste"/>
        <w:ind w:left="851" w:hanging="851"/>
      </w:pPr>
    </w:p>
    <w:p w:rsidR="00E47C63" w:rsidRDefault="00E47C63" w:rsidP="002837FF">
      <w:pPr>
        <w:pStyle w:val="Paragraphedeliste"/>
        <w:ind w:left="851" w:hanging="851"/>
      </w:pPr>
    </w:p>
    <w:p w:rsidR="00E47C63" w:rsidRPr="00501B4D" w:rsidRDefault="00E47C63" w:rsidP="002837FF">
      <w:pPr>
        <w:pStyle w:val="Paragraphedeliste"/>
        <w:ind w:left="851" w:hanging="851"/>
      </w:pPr>
    </w:p>
    <w:p w:rsidR="009A1EC4" w:rsidRPr="00501B4D" w:rsidRDefault="009A1EC4" w:rsidP="009A1EC4">
      <w:pPr>
        <w:pStyle w:val="Paragraphedeliste"/>
        <w:ind w:hanging="282"/>
        <w:jc w:val="center"/>
      </w:pPr>
      <w:r w:rsidRPr="00501B4D">
        <w:rPr>
          <w:b/>
          <w:szCs w:val="24"/>
        </w:rPr>
        <w:lastRenderedPageBreak/>
        <w:t>VŒUX EN 2GT</w:t>
      </w:r>
    </w:p>
    <w:p w:rsidR="009A1EC4" w:rsidRPr="00EB4EA7" w:rsidRDefault="00EB4EA7" w:rsidP="00EB4EA7">
      <w:pPr>
        <w:ind w:left="851" w:hanging="425"/>
        <w:rPr>
          <w:rFonts w:asciiTheme="minorHAnsi" w:hAnsiTheme="minorHAnsi" w:cstheme="minorHAnsi"/>
          <w:bCs w:val="0"/>
          <w:sz w:val="22"/>
          <w:szCs w:val="22"/>
        </w:rPr>
      </w:pPr>
      <w:r w:rsidRPr="00EB4EA7">
        <w:rPr>
          <w:rFonts w:ascii="Wingdings" w:hAnsi="Wingdings" w:cs="Wingdings"/>
          <w:sz w:val="22"/>
          <w:szCs w:val="22"/>
        </w:rPr>
        <w:t></w:t>
      </w:r>
      <w:r w:rsidRPr="00EB4EA7">
        <w:rPr>
          <w:rFonts w:ascii="Wingdings" w:hAnsi="Wingdings" w:cs="Wingdings"/>
          <w:sz w:val="22"/>
          <w:szCs w:val="22"/>
        </w:rPr>
        <w:t></w:t>
      </w:r>
      <w:r w:rsidR="00554C9A" w:rsidRPr="00554C9A">
        <w:rPr>
          <w:kern w:val="1"/>
          <w:sz w:val="22"/>
          <w:szCs w:val="22"/>
        </w:rPr>
        <w:t xml:space="preserve"> </w:t>
      </w:r>
      <w:r w:rsidR="00554C9A" w:rsidRPr="00554C9A">
        <w:rPr>
          <w:rFonts w:asciiTheme="minorHAnsi" w:hAnsiTheme="minorHAnsi" w:cstheme="minorHAnsi"/>
          <w:sz w:val="22"/>
          <w:szCs w:val="22"/>
        </w:rPr>
        <w:t>Secteur : en cas d’adresses de domicile différentes pour les parents, s’assurer de l’accord des 2 parents pour l’ensemble des vœux et vérifier que l’adresse prise en compte dans AFFELNET est bien celle qui correspond au secteur du lycée demandé (car attribution automatique du bonus secteur par AFFELNET selon l’adresse).</w:t>
      </w:r>
    </w:p>
    <w:p w:rsidR="009A1EC4" w:rsidRPr="00EB4EA7" w:rsidRDefault="009A1EC4" w:rsidP="009A1EC4">
      <w:pPr>
        <w:pStyle w:val="Paragraphedeliste"/>
        <w:ind w:left="0"/>
      </w:pPr>
    </w:p>
    <w:p w:rsidR="00554C9A" w:rsidRPr="00554C9A" w:rsidRDefault="00EB4EA7" w:rsidP="00554C9A">
      <w:pPr>
        <w:pStyle w:val="Paragraphedeliste"/>
        <w:ind w:left="851" w:hanging="413"/>
        <w:rPr>
          <w:bCs/>
        </w:rPr>
      </w:pPr>
      <w:r w:rsidRPr="00501B4D">
        <w:rPr>
          <w:rFonts w:ascii="Wingdings" w:hAnsi="Wingdings" w:cs="Wingdings"/>
        </w:rPr>
        <w:t></w:t>
      </w:r>
      <w:r>
        <w:rPr>
          <w:rFonts w:ascii="Wingdings" w:hAnsi="Wingdings" w:cs="Wingdings"/>
        </w:rPr>
        <w:t></w:t>
      </w:r>
      <w:r w:rsidR="00554C9A" w:rsidRPr="00554C9A">
        <w:rPr>
          <w:rFonts w:ascii="Arial" w:eastAsia="Times New Roman" w:hAnsi="Arial" w:cs="Arial"/>
          <w:bCs/>
          <w:kern w:val="1"/>
          <w:lang w:eastAsia="ar-SA"/>
        </w:rPr>
        <w:t xml:space="preserve"> </w:t>
      </w:r>
      <w:r w:rsidR="00554C9A" w:rsidRPr="00554C9A">
        <w:rPr>
          <w:bCs/>
        </w:rPr>
        <w:t>Pour les élèves du secteur de RODEZ demandant l’un des lycées FOCH ou MONTEIL : toujours saisir aussi le vœu 2GT de l’autre lycée (en dernier vœu si nécessaire) dans l’intérêt de l’élève, pour éviter qu’il ne soit pas affecté.</w:t>
      </w:r>
    </w:p>
    <w:p w:rsidR="009A1EC4" w:rsidRDefault="009A1EC4" w:rsidP="00EB4EA7">
      <w:pPr>
        <w:pStyle w:val="Paragraphedeliste"/>
        <w:ind w:left="851" w:hanging="413"/>
      </w:pPr>
    </w:p>
    <w:p w:rsidR="00554C9A" w:rsidRDefault="00554C9A" w:rsidP="00EB4EA7">
      <w:pPr>
        <w:pStyle w:val="Paragraphedeliste"/>
        <w:ind w:left="851" w:hanging="413"/>
        <w:rPr>
          <w:bCs/>
        </w:rPr>
      </w:pPr>
      <w:r w:rsidRPr="00501B4D">
        <w:rPr>
          <w:rFonts w:ascii="Wingdings" w:hAnsi="Wingdings" w:cs="Wingdings"/>
        </w:rPr>
        <w:t></w:t>
      </w:r>
      <w:r>
        <w:rPr>
          <w:rFonts w:ascii="Wingdings" w:hAnsi="Wingdings" w:cs="Wingdings"/>
        </w:rPr>
        <w:t></w:t>
      </w:r>
      <w:r w:rsidRPr="00554C9A">
        <w:rPr>
          <w:rFonts w:ascii="Arial" w:eastAsia="Times New Roman" w:hAnsi="Arial" w:cs="Arial"/>
          <w:bCs/>
          <w:kern w:val="1"/>
          <w:lang w:eastAsia="ar-SA"/>
        </w:rPr>
        <w:t xml:space="preserve"> </w:t>
      </w:r>
      <w:r w:rsidRPr="00554C9A">
        <w:rPr>
          <w:bCs/>
        </w:rPr>
        <w:t xml:space="preserve">Pour les élèves demandant une section sportive dans un lycée hors de leur secteur de domicile (Monteil ou Vigo), les établissements d’origine et d’accueil doivent alerter les familles, </w:t>
      </w:r>
      <w:r w:rsidRPr="00554C9A">
        <w:rPr>
          <w:b/>
          <w:bCs/>
        </w:rPr>
        <w:t>notamment lors des tests sportifs</w:t>
      </w:r>
      <w:r w:rsidRPr="00554C9A">
        <w:rPr>
          <w:bCs/>
        </w:rPr>
        <w:t>, sur le fait que même si l’élève satisfait aux critères de sélection, et qu’il est « </w:t>
      </w:r>
      <w:r w:rsidRPr="00554C9A">
        <w:rPr>
          <w:bCs/>
          <w:i/>
        </w:rPr>
        <w:t>pris à la section sportive</w:t>
      </w:r>
      <w:r w:rsidRPr="00554C9A">
        <w:rPr>
          <w:bCs/>
        </w:rPr>
        <w:t> », son affectation en 2GT reste conditionnée à son barème et aux places vacantes, après l’affectation des élèves du secteur.  Un vœu supplémentaire « 2GT de secteur » reste donc nécessaire dans ce cas de figure pour assurer l’affectation de l’élève.</w:t>
      </w:r>
    </w:p>
    <w:p w:rsidR="00554C9A" w:rsidRPr="00EB4EA7" w:rsidRDefault="00554C9A" w:rsidP="00EB4EA7">
      <w:pPr>
        <w:pStyle w:val="Paragraphedeliste"/>
        <w:ind w:left="851" w:hanging="413"/>
        <w:rPr>
          <w:b/>
        </w:rPr>
      </w:pPr>
    </w:p>
    <w:p w:rsidR="00554C9A" w:rsidRDefault="00554C9A" w:rsidP="00554C9A">
      <w:pPr>
        <w:pStyle w:val="Paragraphedeliste"/>
        <w:ind w:hanging="282"/>
        <w:jc w:val="center"/>
        <w:rPr>
          <w:b/>
          <w:szCs w:val="24"/>
        </w:rPr>
      </w:pPr>
      <w:r w:rsidRPr="00501B4D">
        <w:rPr>
          <w:b/>
          <w:szCs w:val="24"/>
        </w:rPr>
        <w:t xml:space="preserve">VŒUX EN </w:t>
      </w:r>
      <w:r>
        <w:rPr>
          <w:b/>
          <w:szCs w:val="24"/>
        </w:rPr>
        <w:t>VOIE PROFESSIONNELLE</w:t>
      </w:r>
    </w:p>
    <w:p w:rsidR="00554C9A" w:rsidRPr="00501B4D" w:rsidRDefault="00554C9A" w:rsidP="00554C9A">
      <w:pPr>
        <w:pStyle w:val="Paragraphedeliste"/>
        <w:ind w:hanging="282"/>
        <w:jc w:val="center"/>
        <w:rPr>
          <w:b/>
          <w:szCs w:val="24"/>
        </w:rPr>
      </w:pPr>
    </w:p>
    <w:p w:rsidR="00554C9A" w:rsidRDefault="00554C9A" w:rsidP="00554C9A">
      <w:pPr>
        <w:pStyle w:val="Paragraphedeliste"/>
        <w:ind w:left="851" w:hanging="413"/>
        <w:rPr>
          <w:bCs/>
        </w:rPr>
      </w:pPr>
      <w:r w:rsidRPr="00501B4D">
        <w:rPr>
          <w:rFonts w:ascii="Wingdings" w:hAnsi="Wingdings" w:cs="Wingdings"/>
        </w:rPr>
        <w:t></w:t>
      </w:r>
      <w:r>
        <w:rPr>
          <w:rFonts w:ascii="Wingdings" w:hAnsi="Wingdings" w:cs="Wingdings"/>
        </w:rPr>
        <w:t></w:t>
      </w:r>
      <w:r w:rsidRPr="00554C9A">
        <w:rPr>
          <w:rFonts w:ascii="Arial" w:eastAsia="Times New Roman" w:hAnsi="Arial" w:cs="Arial"/>
          <w:bCs/>
          <w:kern w:val="1"/>
          <w:lang w:eastAsia="ar-SA"/>
        </w:rPr>
        <w:t xml:space="preserve"> </w:t>
      </w:r>
      <w:r w:rsidRPr="00554C9A">
        <w:rPr>
          <w:bCs/>
        </w:rPr>
        <w:t xml:space="preserve">Alerter les familles sur le fait que l’affectation en voie professionnelle n’est </w:t>
      </w:r>
      <w:r w:rsidRPr="00554C9A">
        <w:rPr>
          <w:bCs/>
          <w:u w:val="single"/>
        </w:rPr>
        <w:t>jamais garantie</w:t>
      </w:r>
      <w:r w:rsidRPr="00554C9A">
        <w:rPr>
          <w:bCs/>
        </w:rPr>
        <w:t xml:space="preserve"> et les inciter à élargir leurs vœux (autres spécialités et/ou autres localisations). </w:t>
      </w:r>
    </w:p>
    <w:p w:rsidR="00554C9A" w:rsidRDefault="00554C9A" w:rsidP="00554C9A">
      <w:pPr>
        <w:pStyle w:val="Paragraphedeliste"/>
        <w:ind w:left="851" w:hanging="413"/>
        <w:rPr>
          <w:bCs/>
        </w:rPr>
      </w:pPr>
    </w:p>
    <w:p w:rsidR="00554C9A" w:rsidRPr="00554C9A" w:rsidRDefault="00554C9A" w:rsidP="00554C9A">
      <w:pPr>
        <w:pStyle w:val="Paragraphedeliste"/>
        <w:ind w:left="851" w:hanging="413"/>
        <w:rPr>
          <w:bCs/>
        </w:rPr>
      </w:pPr>
      <w:r w:rsidRPr="00501B4D">
        <w:rPr>
          <w:rFonts w:ascii="Wingdings" w:hAnsi="Wingdings" w:cs="Wingdings"/>
        </w:rPr>
        <w:t></w:t>
      </w:r>
      <w:r>
        <w:rPr>
          <w:rFonts w:ascii="Wingdings" w:hAnsi="Wingdings" w:cs="Wingdings"/>
        </w:rPr>
        <w:t></w:t>
      </w:r>
      <w:r w:rsidRPr="00554C9A">
        <w:rPr>
          <w:rFonts w:ascii="Arial" w:eastAsia="Times New Roman" w:hAnsi="Arial" w:cs="Arial"/>
          <w:bCs/>
          <w:kern w:val="1"/>
          <w:lang w:eastAsia="ar-SA"/>
        </w:rPr>
        <w:t xml:space="preserve"> </w:t>
      </w:r>
      <w:r w:rsidRPr="00554C9A">
        <w:rPr>
          <w:bCs/>
        </w:rPr>
        <w:t xml:space="preserve">Toujours mettre les vœux voie pro </w:t>
      </w:r>
      <w:r w:rsidRPr="00554C9A">
        <w:rPr>
          <w:bCs/>
          <w:u w:val="single"/>
        </w:rPr>
        <w:t>avant</w:t>
      </w:r>
      <w:r w:rsidR="00E47C63">
        <w:rPr>
          <w:bCs/>
        </w:rPr>
        <w:t xml:space="preserve"> les v</w:t>
      </w:r>
      <w:r w:rsidRPr="00554C9A">
        <w:rPr>
          <w:bCs/>
        </w:rPr>
        <w:t>œux 2GT génériques de secteur (sinon les vœux en voie pro ne seront pas étudiés par AFFELNET).</w:t>
      </w:r>
    </w:p>
    <w:p w:rsidR="009A1EC4" w:rsidRPr="00EB4EA7" w:rsidRDefault="009A1EC4" w:rsidP="00554C9A">
      <w:pPr>
        <w:pStyle w:val="Paragraphedeliste"/>
        <w:ind w:left="851" w:hanging="413"/>
        <w:rPr>
          <w:b/>
        </w:rPr>
      </w:pPr>
    </w:p>
    <w:p w:rsidR="009A1EC4" w:rsidRDefault="009A1EC4" w:rsidP="00501B4D">
      <w:pPr>
        <w:pStyle w:val="Paragraphedeliste"/>
        <w:ind w:hanging="282"/>
        <w:jc w:val="center"/>
        <w:rPr>
          <w:b/>
          <w:szCs w:val="24"/>
        </w:rPr>
      </w:pPr>
      <w:r w:rsidRPr="00501B4D">
        <w:rPr>
          <w:b/>
          <w:szCs w:val="24"/>
        </w:rPr>
        <w:t>VŒUX EN 1</w:t>
      </w:r>
      <w:r w:rsidRPr="00501B4D">
        <w:rPr>
          <w:b/>
          <w:szCs w:val="24"/>
          <w:vertAlign w:val="superscript"/>
        </w:rPr>
        <w:t>ère</w:t>
      </w:r>
      <w:r w:rsidRPr="00501B4D">
        <w:rPr>
          <w:b/>
          <w:szCs w:val="24"/>
        </w:rPr>
        <w:t xml:space="preserve"> TECHNOLOGIQUE</w:t>
      </w:r>
    </w:p>
    <w:p w:rsidR="00EB4EA7" w:rsidRPr="00501B4D" w:rsidRDefault="00EB4EA7" w:rsidP="00501B4D">
      <w:pPr>
        <w:pStyle w:val="Paragraphedeliste"/>
        <w:ind w:hanging="282"/>
        <w:jc w:val="center"/>
        <w:rPr>
          <w:b/>
          <w:szCs w:val="24"/>
        </w:rPr>
      </w:pPr>
    </w:p>
    <w:p w:rsidR="00E47C63" w:rsidRPr="00E47C63" w:rsidRDefault="00EB4EA7" w:rsidP="00E47C63">
      <w:pPr>
        <w:pStyle w:val="Paragraphedeliste"/>
        <w:ind w:left="851" w:hanging="413"/>
        <w:rPr>
          <w:bCs/>
        </w:rPr>
      </w:pPr>
      <w:r w:rsidRPr="00501B4D">
        <w:rPr>
          <w:rFonts w:ascii="Wingdings" w:hAnsi="Wingdings" w:cs="Wingdings"/>
        </w:rPr>
        <w:t></w:t>
      </w:r>
      <w:r>
        <w:rPr>
          <w:rFonts w:ascii="Wingdings" w:hAnsi="Wingdings" w:cs="Wingdings"/>
        </w:rPr>
        <w:t></w:t>
      </w:r>
      <w:r w:rsidR="00E47C63" w:rsidRPr="00E47C63">
        <w:rPr>
          <w:rFonts w:ascii="Arial" w:eastAsia="Times New Roman" w:hAnsi="Arial" w:cs="Arial"/>
          <w:bCs/>
          <w:kern w:val="1"/>
          <w:lang w:eastAsia="ar-SA"/>
        </w:rPr>
        <w:t xml:space="preserve"> </w:t>
      </w:r>
      <w:r w:rsidR="00E47C63" w:rsidRPr="00E47C63">
        <w:rPr>
          <w:bCs/>
        </w:rPr>
        <w:t>Saisir dans AFFELNET les vœux de tous les élèves de 2</w:t>
      </w:r>
      <w:r w:rsidR="00E47C63" w:rsidRPr="00E47C63">
        <w:rPr>
          <w:bCs/>
          <w:vertAlign w:val="superscript"/>
        </w:rPr>
        <w:t>nde</w:t>
      </w:r>
      <w:r w:rsidR="00E47C63" w:rsidRPr="00E47C63">
        <w:rPr>
          <w:bCs/>
        </w:rPr>
        <w:t xml:space="preserve"> des lycées publics et privés demandant une 1</w:t>
      </w:r>
      <w:r w:rsidR="00E47C63" w:rsidRPr="00E47C63">
        <w:rPr>
          <w:bCs/>
          <w:vertAlign w:val="superscript"/>
        </w:rPr>
        <w:t>ère</w:t>
      </w:r>
      <w:r w:rsidR="00E47C63" w:rsidRPr="00E47C63">
        <w:rPr>
          <w:bCs/>
        </w:rPr>
        <w:t xml:space="preserve"> technologique en lycée public ou privé, y compris les élèves de son propre établissement. Les redoublants de 1</w:t>
      </w:r>
      <w:r w:rsidR="00E47C63" w:rsidRPr="00E47C63">
        <w:rPr>
          <w:bCs/>
          <w:vertAlign w:val="superscript"/>
        </w:rPr>
        <w:t>ère</w:t>
      </w:r>
      <w:r w:rsidR="00E47C63" w:rsidRPr="00E47C63">
        <w:rPr>
          <w:bCs/>
        </w:rPr>
        <w:t xml:space="preserve"> ne peuvent pas être saisis dans AFFELNET.</w:t>
      </w:r>
    </w:p>
    <w:p w:rsidR="009A1EC4" w:rsidRPr="00501B4D" w:rsidRDefault="009A1EC4" w:rsidP="009A1EC4">
      <w:pPr>
        <w:jc w:val="both"/>
        <w:rPr>
          <w:szCs w:val="28"/>
        </w:rPr>
      </w:pPr>
    </w:p>
    <w:p w:rsidR="009A1EC4" w:rsidRDefault="009A1EC4" w:rsidP="00501B4D">
      <w:pPr>
        <w:pStyle w:val="Paragraphedeliste"/>
        <w:ind w:hanging="282"/>
        <w:jc w:val="center"/>
        <w:rPr>
          <w:b/>
          <w:szCs w:val="24"/>
        </w:rPr>
      </w:pPr>
      <w:r w:rsidRPr="00501B4D">
        <w:rPr>
          <w:b/>
          <w:szCs w:val="24"/>
        </w:rPr>
        <w:t>VŒUX EN 1</w:t>
      </w:r>
      <w:r w:rsidRPr="00501B4D">
        <w:rPr>
          <w:b/>
          <w:szCs w:val="24"/>
          <w:vertAlign w:val="superscript"/>
        </w:rPr>
        <w:t xml:space="preserve">ère </w:t>
      </w:r>
      <w:r w:rsidRPr="00501B4D">
        <w:rPr>
          <w:b/>
          <w:szCs w:val="24"/>
        </w:rPr>
        <w:t>PROFESSIONNELLE</w:t>
      </w:r>
    </w:p>
    <w:p w:rsidR="00EB4EA7" w:rsidRPr="00501B4D" w:rsidRDefault="00EB4EA7" w:rsidP="00501B4D">
      <w:pPr>
        <w:pStyle w:val="Paragraphedeliste"/>
        <w:ind w:hanging="282"/>
        <w:jc w:val="center"/>
        <w:rPr>
          <w:b/>
          <w:szCs w:val="24"/>
        </w:rPr>
      </w:pPr>
    </w:p>
    <w:p w:rsidR="00E47C63" w:rsidRPr="00E47C63" w:rsidRDefault="00741316" w:rsidP="00E47C63">
      <w:pPr>
        <w:pStyle w:val="Paragraphedeliste"/>
        <w:ind w:left="851" w:hanging="413"/>
        <w:rPr>
          <w:bCs/>
        </w:rPr>
      </w:pPr>
      <w:r w:rsidRPr="00501B4D">
        <w:rPr>
          <w:rFonts w:ascii="Wingdings" w:hAnsi="Wingdings" w:cs="Wingdings"/>
        </w:rPr>
        <w:t></w:t>
      </w:r>
      <w:r>
        <w:rPr>
          <w:rFonts w:ascii="Wingdings" w:hAnsi="Wingdings" w:cs="Wingdings"/>
        </w:rPr>
        <w:t></w:t>
      </w:r>
      <w:r w:rsidR="00E47C63" w:rsidRPr="00E47C63">
        <w:rPr>
          <w:rFonts w:ascii="Arial" w:eastAsia="Times New Roman" w:hAnsi="Arial" w:cs="Arial"/>
          <w:bCs/>
          <w:kern w:val="1"/>
          <w:lang w:eastAsia="ar-SA"/>
        </w:rPr>
        <w:t xml:space="preserve"> </w:t>
      </w:r>
      <w:r w:rsidR="00E47C63" w:rsidRPr="00E47C63">
        <w:rPr>
          <w:bCs/>
        </w:rPr>
        <w:t>S’assurer que tous les élèves de 2</w:t>
      </w:r>
      <w:r w:rsidR="00E47C63" w:rsidRPr="00E47C63">
        <w:rPr>
          <w:bCs/>
          <w:vertAlign w:val="superscript"/>
        </w:rPr>
        <w:t>nde</w:t>
      </w:r>
      <w:r w:rsidR="00E47C63" w:rsidRPr="00E47C63">
        <w:rPr>
          <w:bCs/>
        </w:rPr>
        <w:t xml:space="preserve"> pro « famille de métiers » ou « communes » ont saisi des vœux. Les montées pédagogiques automatiques AFFELNET n’existent que pour les élèves des 2ndes pro dites « orphelines » et n’existent pas pour les 2ndes pro « familles de métiers » ou les 2ndes pro communes à plusieurs spécialités (ex : ASSP) ; et ceci, même si une seule spécialité de 1</w:t>
      </w:r>
      <w:r w:rsidR="00E47C63" w:rsidRPr="00E47C63">
        <w:rPr>
          <w:bCs/>
          <w:vertAlign w:val="superscript"/>
        </w:rPr>
        <w:t>ère</w:t>
      </w:r>
      <w:r w:rsidR="00E47C63" w:rsidRPr="00E47C63">
        <w:rPr>
          <w:bCs/>
        </w:rPr>
        <w:t xml:space="preserve"> est offerte dans l’établissement. Attention, certaines 2ndes pro sont supposées « orphelines » à tort, ce sont les 2ndes pro qui n’ont pas la dénomination « familles de métiers » mais qui sont en fait des 2ndes pro « communes » à plusieurs spécialités de 1</w:t>
      </w:r>
      <w:r w:rsidR="00E47C63" w:rsidRPr="00E47C63">
        <w:rPr>
          <w:bCs/>
          <w:vertAlign w:val="superscript"/>
        </w:rPr>
        <w:t>ère</w:t>
      </w:r>
      <w:r w:rsidR="00E47C63" w:rsidRPr="00E47C63">
        <w:rPr>
          <w:bCs/>
        </w:rPr>
        <w:t xml:space="preserve"> pro (En Aveyron : ASSP, Artisanat et métiers d’art</w:t>
      </w:r>
      <w:r w:rsidR="00421E6C">
        <w:rPr>
          <w:bCs/>
        </w:rPr>
        <w:t>, maintenance des véhicules automobiles</w:t>
      </w:r>
      <w:r w:rsidR="00E47C63" w:rsidRPr="00E47C63">
        <w:rPr>
          <w:bCs/>
        </w:rPr>
        <w:t>).</w:t>
      </w:r>
    </w:p>
    <w:p w:rsidR="00E47C63" w:rsidRDefault="00E47C63" w:rsidP="00741316">
      <w:pPr>
        <w:pStyle w:val="Paragraphedeliste"/>
        <w:ind w:left="851" w:hanging="413"/>
      </w:pPr>
    </w:p>
    <w:p w:rsidR="00E47C63" w:rsidRPr="00501B4D" w:rsidRDefault="00E47C63" w:rsidP="00741316">
      <w:pPr>
        <w:pStyle w:val="Paragraphedeliste"/>
        <w:ind w:left="851" w:hanging="413"/>
        <w:rPr>
          <w:b/>
          <w:szCs w:val="24"/>
        </w:rPr>
      </w:pPr>
      <w:r w:rsidRPr="00501B4D">
        <w:rPr>
          <w:rFonts w:ascii="Wingdings" w:hAnsi="Wingdings" w:cs="Wingdings"/>
        </w:rPr>
        <w:t></w:t>
      </w:r>
      <w:r>
        <w:rPr>
          <w:rFonts w:ascii="Wingdings" w:hAnsi="Wingdings" w:cs="Wingdings"/>
        </w:rPr>
        <w:t></w:t>
      </w:r>
      <w:r w:rsidRPr="00E47C63">
        <w:rPr>
          <w:rFonts w:ascii="Arial" w:eastAsia="Times New Roman" w:hAnsi="Arial" w:cs="Arial"/>
          <w:bCs/>
          <w:kern w:val="1"/>
          <w:lang w:eastAsia="ar-SA"/>
        </w:rPr>
        <w:t xml:space="preserve"> </w:t>
      </w:r>
      <w:r w:rsidRPr="00E47C63">
        <w:rPr>
          <w:bCs/>
        </w:rPr>
        <w:t>S’assurer que tous les élèves de 2</w:t>
      </w:r>
      <w:r w:rsidRPr="00E47C63">
        <w:rPr>
          <w:bCs/>
          <w:vertAlign w:val="superscript"/>
        </w:rPr>
        <w:t>nde</w:t>
      </w:r>
      <w:r w:rsidRPr="00E47C63">
        <w:rPr>
          <w:bCs/>
        </w:rPr>
        <w:t xml:space="preserve"> pro ont, au moins en dernier vœu, un vœu de continuité pédagogique garantissant leur affectation, et ceci quels que soient leurs autres vœux (passerelles, réorientation, continuité en ou hors établissement d’origine, apprentissage etc…) et notamment en cas de demande d’une spécialité fortement demandée dans le même établissement en continuité d’une 2</w:t>
      </w:r>
      <w:r w:rsidRPr="00E47C63">
        <w:rPr>
          <w:bCs/>
          <w:vertAlign w:val="superscript"/>
        </w:rPr>
        <w:t>nde</w:t>
      </w:r>
      <w:r w:rsidRPr="00E47C63">
        <w:rPr>
          <w:bCs/>
        </w:rPr>
        <w:t xml:space="preserve"> pro « famille de métiers » (ex : Boulangerie / Boucherie après une 2</w:t>
      </w:r>
      <w:r w:rsidRPr="00E47C63">
        <w:rPr>
          <w:bCs/>
          <w:vertAlign w:val="superscript"/>
        </w:rPr>
        <w:t>nde</w:t>
      </w:r>
      <w:r w:rsidRPr="00E47C63">
        <w:rPr>
          <w:bCs/>
        </w:rPr>
        <w:t xml:space="preserve"> pro « famille de métiers de l’ alimentation » ou Accueil / Commerce après une 2</w:t>
      </w:r>
      <w:r w:rsidRPr="00E47C63">
        <w:rPr>
          <w:bCs/>
          <w:vertAlign w:val="superscript"/>
        </w:rPr>
        <w:t>nde</w:t>
      </w:r>
      <w:r w:rsidRPr="00E47C63">
        <w:rPr>
          <w:bCs/>
        </w:rPr>
        <w:t xml:space="preserve"> pro « famille de métiers de la relation client »).</w:t>
      </w:r>
    </w:p>
    <w:sectPr w:rsidR="00E47C63" w:rsidRPr="00501B4D" w:rsidSect="00EB4EA7">
      <w:headerReference w:type="default" r:id="rId9"/>
      <w:footerReference w:type="default" r:id="rId1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5D8" w:rsidRDefault="009005D8" w:rsidP="00536C55">
      <w:r>
        <w:separator/>
      </w:r>
    </w:p>
  </w:endnote>
  <w:endnote w:type="continuationSeparator" w:id="0">
    <w:p w:rsidR="009005D8" w:rsidRDefault="009005D8" w:rsidP="0053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8282147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E47C63" w:rsidRPr="0040728E" w:rsidRDefault="0040728E">
            <w:pPr>
              <w:pStyle w:val="Pieddepage"/>
              <w:jc w:val="right"/>
              <w:rPr>
                <w:sz w:val="16"/>
                <w:szCs w:val="16"/>
              </w:rPr>
            </w:pPr>
            <w:r>
              <w:rPr>
                <w:sz w:val="16"/>
                <w:szCs w:val="16"/>
              </w:rPr>
              <w:t xml:space="preserve">Page </w:t>
            </w:r>
            <w:r w:rsidR="00E47C63" w:rsidRPr="0040728E">
              <w:rPr>
                <w:bCs/>
                <w:sz w:val="16"/>
                <w:szCs w:val="16"/>
              </w:rPr>
              <w:fldChar w:fldCharType="begin"/>
            </w:r>
            <w:r w:rsidR="00E47C63" w:rsidRPr="0040728E">
              <w:rPr>
                <w:bCs/>
                <w:sz w:val="16"/>
                <w:szCs w:val="16"/>
              </w:rPr>
              <w:instrText>PAGE</w:instrText>
            </w:r>
            <w:r w:rsidR="00E47C63" w:rsidRPr="0040728E">
              <w:rPr>
                <w:bCs/>
                <w:sz w:val="16"/>
                <w:szCs w:val="16"/>
              </w:rPr>
              <w:fldChar w:fldCharType="separate"/>
            </w:r>
            <w:r w:rsidR="00E570A3">
              <w:rPr>
                <w:bCs/>
                <w:noProof/>
                <w:sz w:val="16"/>
                <w:szCs w:val="16"/>
              </w:rPr>
              <w:t>1</w:t>
            </w:r>
            <w:r w:rsidR="00E47C63" w:rsidRPr="0040728E">
              <w:rPr>
                <w:bCs/>
                <w:sz w:val="16"/>
                <w:szCs w:val="16"/>
              </w:rPr>
              <w:fldChar w:fldCharType="end"/>
            </w:r>
            <w:r w:rsidR="00E47C63" w:rsidRPr="0040728E">
              <w:rPr>
                <w:sz w:val="16"/>
                <w:szCs w:val="16"/>
              </w:rPr>
              <w:t xml:space="preserve"> sur </w:t>
            </w:r>
            <w:r w:rsidR="00E47C63" w:rsidRPr="0040728E">
              <w:rPr>
                <w:bCs/>
                <w:sz w:val="16"/>
                <w:szCs w:val="16"/>
              </w:rPr>
              <w:fldChar w:fldCharType="begin"/>
            </w:r>
            <w:r w:rsidR="00E47C63" w:rsidRPr="0040728E">
              <w:rPr>
                <w:bCs/>
                <w:sz w:val="16"/>
                <w:szCs w:val="16"/>
              </w:rPr>
              <w:instrText>NUMPAGES</w:instrText>
            </w:r>
            <w:r w:rsidR="00E47C63" w:rsidRPr="0040728E">
              <w:rPr>
                <w:bCs/>
                <w:sz w:val="16"/>
                <w:szCs w:val="16"/>
              </w:rPr>
              <w:fldChar w:fldCharType="separate"/>
            </w:r>
            <w:r w:rsidR="00E570A3">
              <w:rPr>
                <w:bCs/>
                <w:noProof/>
                <w:sz w:val="16"/>
                <w:szCs w:val="16"/>
              </w:rPr>
              <w:t>2</w:t>
            </w:r>
            <w:r w:rsidR="00E47C63" w:rsidRPr="0040728E">
              <w:rPr>
                <w:bCs/>
                <w:sz w:val="16"/>
                <w:szCs w:val="16"/>
              </w:rPr>
              <w:fldChar w:fldCharType="end"/>
            </w:r>
          </w:p>
        </w:sdtContent>
      </w:sdt>
    </w:sdtContent>
  </w:sdt>
  <w:p w:rsidR="00E47C63" w:rsidRDefault="00E47C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5D8" w:rsidRDefault="009005D8" w:rsidP="00536C55">
      <w:r>
        <w:separator/>
      </w:r>
    </w:p>
  </w:footnote>
  <w:footnote w:type="continuationSeparator" w:id="0">
    <w:p w:rsidR="009005D8" w:rsidRDefault="009005D8" w:rsidP="0053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A17" w:rsidRDefault="00536C55">
    <w:pPr>
      <w:pStyle w:val="En-tte"/>
    </w:pPr>
    <w:r>
      <w:tab/>
    </w:r>
    <w:r>
      <w:tab/>
    </w:r>
    <w:r w:rsidRPr="00536C55">
      <w:rPr>
        <w:rFonts w:ascii="Arial" w:hAnsi="Arial" w:cs="Arial"/>
        <w:b/>
        <w:sz w:val="24"/>
        <w:szCs w:val="24"/>
      </w:rPr>
      <w:t>ANNEXE 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91FE7"/>
    <w:multiLevelType w:val="hybridMultilevel"/>
    <w:tmpl w:val="20663E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55"/>
    <w:rsid w:val="000046B0"/>
    <w:rsid w:val="0003228D"/>
    <w:rsid w:val="000602F4"/>
    <w:rsid w:val="000640CD"/>
    <w:rsid w:val="000A18C1"/>
    <w:rsid w:val="000B7ED7"/>
    <w:rsid w:val="000F2B19"/>
    <w:rsid w:val="0012561F"/>
    <w:rsid w:val="001401D8"/>
    <w:rsid w:val="0019366B"/>
    <w:rsid w:val="001968DB"/>
    <w:rsid w:val="001A5AD0"/>
    <w:rsid w:val="001C0A17"/>
    <w:rsid w:val="001C47AF"/>
    <w:rsid w:val="001D07DC"/>
    <w:rsid w:val="001E242D"/>
    <w:rsid w:val="002263F0"/>
    <w:rsid w:val="002837FF"/>
    <w:rsid w:val="002A0AD5"/>
    <w:rsid w:val="002C109E"/>
    <w:rsid w:val="002D42EF"/>
    <w:rsid w:val="002F682A"/>
    <w:rsid w:val="0031138E"/>
    <w:rsid w:val="00313E1A"/>
    <w:rsid w:val="003326B2"/>
    <w:rsid w:val="00352210"/>
    <w:rsid w:val="003560AE"/>
    <w:rsid w:val="003930EC"/>
    <w:rsid w:val="003D15CD"/>
    <w:rsid w:val="0040408B"/>
    <w:rsid w:val="0040728E"/>
    <w:rsid w:val="00421E6C"/>
    <w:rsid w:val="00434348"/>
    <w:rsid w:val="004777D6"/>
    <w:rsid w:val="004878A7"/>
    <w:rsid w:val="004B7DE6"/>
    <w:rsid w:val="004E31FB"/>
    <w:rsid w:val="00501B4D"/>
    <w:rsid w:val="005177CD"/>
    <w:rsid w:val="00536C55"/>
    <w:rsid w:val="00554C9A"/>
    <w:rsid w:val="00570579"/>
    <w:rsid w:val="005A1ADD"/>
    <w:rsid w:val="005C49D9"/>
    <w:rsid w:val="005D2A63"/>
    <w:rsid w:val="005D639C"/>
    <w:rsid w:val="00686642"/>
    <w:rsid w:val="006A67D1"/>
    <w:rsid w:val="006A72F7"/>
    <w:rsid w:val="006D75C7"/>
    <w:rsid w:val="006E2CF7"/>
    <w:rsid w:val="00702533"/>
    <w:rsid w:val="0071347C"/>
    <w:rsid w:val="00741316"/>
    <w:rsid w:val="00767FD3"/>
    <w:rsid w:val="00776112"/>
    <w:rsid w:val="007862D3"/>
    <w:rsid w:val="007B513B"/>
    <w:rsid w:val="007D0393"/>
    <w:rsid w:val="00813A9A"/>
    <w:rsid w:val="008321ED"/>
    <w:rsid w:val="008603F5"/>
    <w:rsid w:val="008677F6"/>
    <w:rsid w:val="0089252F"/>
    <w:rsid w:val="008A6F7B"/>
    <w:rsid w:val="008C2A45"/>
    <w:rsid w:val="009005D8"/>
    <w:rsid w:val="00900B66"/>
    <w:rsid w:val="009014FC"/>
    <w:rsid w:val="0090787C"/>
    <w:rsid w:val="00954E0C"/>
    <w:rsid w:val="00980747"/>
    <w:rsid w:val="00982C53"/>
    <w:rsid w:val="009852C9"/>
    <w:rsid w:val="009A1EC4"/>
    <w:rsid w:val="009B6C9C"/>
    <w:rsid w:val="009F78A6"/>
    <w:rsid w:val="00A017AD"/>
    <w:rsid w:val="00A23117"/>
    <w:rsid w:val="00A3646B"/>
    <w:rsid w:val="00A57F50"/>
    <w:rsid w:val="00A82D7C"/>
    <w:rsid w:val="00A8590F"/>
    <w:rsid w:val="00AD1234"/>
    <w:rsid w:val="00AD75D9"/>
    <w:rsid w:val="00B22E36"/>
    <w:rsid w:val="00B47472"/>
    <w:rsid w:val="00BB579B"/>
    <w:rsid w:val="00BD4193"/>
    <w:rsid w:val="00BD432A"/>
    <w:rsid w:val="00CA651B"/>
    <w:rsid w:val="00CA6BE7"/>
    <w:rsid w:val="00CB3576"/>
    <w:rsid w:val="00CE055D"/>
    <w:rsid w:val="00CE06C5"/>
    <w:rsid w:val="00D01318"/>
    <w:rsid w:val="00D86C16"/>
    <w:rsid w:val="00D95755"/>
    <w:rsid w:val="00DD0015"/>
    <w:rsid w:val="00DD1EA7"/>
    <w:rsid w:val="00E47C63"/>
    <w:rsid w:val="00E515D4"/>
    <w:rsid w:val="00E570A3"/>
    <w:rsid w:val="00E627BA"/>
    <w:rsid w:val="00E72772"/>
    <w:rsid w:val="00E835AB"/>
    <w:rsid w:val="00E8709A"/>
    <w:rsid w:val="00E9201B"/>
    <w:rsid w:val="00EB4EA7"/>
    <w:rsid w:val="00EB5B6B"/>
    <w:rsid w:val="00F05BF4"/>
    <w:rsid w:val="00F43A84"/>
    <w:rsid w:val="00F6476F"/>
    <w:rsid w:val="00F67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FEC85EB-9240-4998-ABE4-94AD5E16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C4"/>
    <w:pPr>
      <w:suppressAutoHyphens/>
      <w:spacing w:after="0" w:line="240" w:lineRule="auto"/>
    </w:pPr>
    <w:rPr>
      <w:rFonts w:ascii="Arial" w:eastAsia="Times New Roman" w:hAnsi="Arial" w:cs="Arial"/>
      <w:bCs/>
      <w:kern w:val="2"/>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AD75D9"/>
    <w:pPr>
      <w:suppressAutoHyphens w:val="0"/>
      <w:spacing w:after="160" w:line="259" w:lineRule="auto"/>
      <w:ind w:left="720"/>
      <w:contextualSpacing/>
    </w:pPr>
    <w:rPr>
      <w:rFonts w:asciiTheme="minorHAnsi" w:eastAsiaTheme="minorHAnsi" w:hAnsiTheme="minorHAnsi" w:cstheme="minorBidi"/>
      <w:bCs w:val="0"/>
      <w:kern w:val="0"/>
      <w:sz w:val="22"/>
      <w:szCs w:val="22"/>
      <w:lang w:eastAsia="en-US"/>
    </w:rPr>
  </w:style>
  <w:style w:type="paragraph" w:styleId="Textedebulles">
    <w:name w:val="Balloon Text"/>
    <w:basedOn w:val="Normal"/>
    <w:link w:val="TextedebullesCar"/>
    <w:uiPriority w:val="99"/>
    <w:semiHidden/>
    <w:unhideWhenUsed/>
    <w:rsid w:val="001E242D"/>
    <w:pPr>
      <w:suppressAutoHyphens w:val="0"/>
    </w:pPr>
    <w:rPr>
      <w:rFonts w:ascii="Segoe UI" w:eastAsiaTheme="minorHAnsi" w:hAnsi="Segoe UI" w:cs="Segoe UI"/>
      <w:bCs w:val="0"/>
      <w:kern w:val="0"/>
      <w:sz w:val="18"/>
      <w:szCs w:val="18"/>
      <w:lang w:eastAsia="en-US"/>
    </w:rPr>
  </w:style>
  <w:style w:type="character" w:customStyle="1" w:styleId="TextedebullesCar">
    <w:name w:val="Texte de bulles Car"/>
    <w:basedOn w:val="Policepardfaut"/>
    <w:link w:val="Textedebulles"/>
    <w:uiPriority w:val="99"/>
    <w:semiHidden/>
    <w:rsid w:val="001E242D"/>
    <w:rPr>
      <w:rFonts w:ascii="Segoe UI" w:hAnsi="Segoe UI" w:cs="Segoe UI"/>
      <w:sz w:val="18"/>
      <w:szCs w:val="18"/>
    </w:rPr>
  </w:style>
  <w:style w:type="paragraph" w:styleId="En-tte">
    <w:name w:val="header"/>
    <w:basedOn w:val="Normal"/>
    <w:link w:val="En-tteCar"/>
    <w:uiPriority w:val="99"/>
    <w:unhideWhenUsed/>
    <w:rsid w:val="00536C55"/>
    <w:pPr>
      <w:tabs>
        <w:tab w:val="center" w:pos="4536"/>
        <w:tab w:val="right" w:pos="9072"/>
      </w:tabs>
      <w:suppressAutoHyphens w:val="0"/>
    </w:pPr>
    <w:rPr>
      <w:rFonts w:asciiTheme="minorHAnsi" w:eastAsiaTheme="minorHAnsi" w:hAnsiTheme="minorHAnsi" w:cstheme="minorBidi"/>
      <w:bCs w:val="0"/>
      <w:kern w:val="0"/>
      <w:sz w:val="22"/>
      <w:szCs w:val="22"/>
      <w:lang w:eastAsia="en-US"/>
    </w:rPr>
  </w:style>
  <w:style w:type="character" w:customStyle="1" w:styleId="En-tteCar">
    <w:name w:val="En-tête Car"/>
    <w:basedOn w:val="Policepardfaut"/>
    <w:link w:val="En-tte"/>
    <w:uiPriority w:val="99"/>
    <w:rsid w:val="00536C55"/>
  </w:style>
  <w:style w:type="paragraph" w:styleId="Pieddepage">
    <w:name w:val="footer"/>
    <w:basedOn w:val="Normal"/>
    <w:link w:val="PieddepageCar"/>
    <w:uiPriority w:val="99"/>
    <w:unhideWhenUsed/>
    <w:rsid w:val="00536C55"/>
    <w:pPr>
      <w:tabs>
        <w:tab w:val="center" w:pos="4536"/>
        <w:tab w:val="right" w:pos="9072"/>
      </w:tabs>
      <w:suppressAutoHyphens w:val="0"/>
    </w:pPr>
    <w:rPr>
      <w:rFonts w:asciiTheme="minorHAnsi" w:eastAsiaTheme="minorHAnsi" w:hAnsiTheme="minorHAnsi" w:cstheme="minorBidi"/>
      <w:bCs w:val="0"/>
      <w:kern w:val="0"/>
      <w:sz w:val="22"/>
      <w:szCs w:val="22"/>
      <w:lang w:eastAsia="en-US"/>
    </w:rPr>
  </w:style>
  <w:style w:type="character" w:customStyle="1" w:styleId="PieddepageCar">
    <w:name w:val="Pied de page Car"/>
    <w:basedOn w:val="Policepardfaut"/>
    <w:link w:val="Pieddepage"/>
    <w:uiPriority w:val="99"/>
    <w:rsid w:val="0053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14745">
      <w:bodyDiv w:val="1"/>
      <w:marLeft w:val="0"/>
      <w:marRight w:val="0"/>
      <w:marTop w:val="0"/>
      <w:marBottom w:val="0"/>
      <w:divBdr>
        <w:top w:val="none" w:sz="0" w:space="0" w:color="auto"/>
        <w:left w:val="none" w:sz="0" w:space="0" w:color="auto"/>
        <w:bottom w:val="none" w:sz="0" w:space="0" w:color="auto"/>
        <w:right w:val="none" w:sz="0" w:space="0" w:color="auto"/>
      </w:divBdr>
    </w:div>
    <w:div w:id="518934327">
      <w:bodyDiv w:val="1"/>
      <w:marLeft w:val="0"/>
      <w:marRight w:val="0"/>
      <w:marTop w:val="0"/>
      <w:marBottom w:val="0"/>
      <w:divBdr>
        <w:top w:val="none" w:sz="0" w:space="0" w:color="auto"/>
        <w:left w:val="none" w:sz="0" w:space="0" w:color="auto"/>
        <w:bottom w:val="none" w:sz="0" w:space="0" w:color="auto"/>
        <w:right w:val="none" w:sz="0" w:space="0" w:color="auto"/>
      </w:divBdr>
    </w:div>
    <w:div w:id="16595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4842</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Académie de Toulouse</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JULITA JEAN MICHEL</dc:creator>
  <cp:lastModifiedBy>QUENU MYRIEL</cp:lastModifiedBy>
  <cp:revision>2</cp:revision>
  <cp:lastPrinted>2023-03-21T08:29:00Z</cp:lastPrinted>
  <dcterms:created xsi:type="dcterms:W3CDTF">2023-04-03T09:18:00Z</dcterms:created>
  <dcterms:modified xsi:type="dcterms:W3CDTF">2023-04-03T09:18:00Z</dcterms:modified>
</cp:coreProperties>
</file>